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03" w:rsidRPr="007B0503" w:rsidRDefault="007B0503" w:rsidP="007B0503">
      <w:pPr>
        <w:shd w:val="clear" w:color="auto" w:fill="FFFFFF"/>
        <w:spacing w:before="161" w:after="161"/>
        <w:ind w:left="375"/>
        <w:outlineLvl w:val="0"/>
        <w:rPr>
          <w:rFonts w:eastAsia="Times New Roman"/>
          <w:b/>
          <w:bCs/>
          <w:color w:val="22272F"/>
          <w:kern w:val="36"/>
          <w:sz w:val="33"/>
          <w:szCs w:val="33"/>
          <w:lang w:eastAsia="ru-RU"/>
        </w:rPr>
      </w:pPr>
      <w:r w:rsidRPr="007B0503">
        <w:rPr>
          <w:rFonts w:eastAsia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5 августа 2013 г. N 662 "Об осуществлении мониторинга системы образования" (с изменениями и дополнениями)</w:t>
      </w:r>
    </w:p>
    <w:p w:rsidR="007B0503" w:rsidRPr="007B0503" w:rsidRDefault="007B0503" w:rsidP="007B0503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5 августа 2013 г. N 662</w:t>
      </w: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"Об осуществлении мониторинга системы образования"</w:t>
      </w:r>
    </w:p>
    <w:p w:rsidR="007B0503" w:rsidRPr="007B0503" w:rsidRDefault="007B0503" w:rsidP="007B0503">
      <w:pPr>
        <w:pBdr>
          <w:bottom w:val="dotted" w:sz="6" w:space="0" w:color="3272C0"/>
        </w:pBdr>
        <w:shd w:val="clear" w:color="auto" w:fill="FFFFFF"/>
        <w:spacing w:after="300"/>
        <w:outlineLvl w:val="3"/>
        <w:rPr>
          <w:rFonts w:eastAsia="Times New Roman"/>
          <w:b/>
          <w:bCs/>
          <w:color w:val="3272C0"/>
          <w:sz w:val="24"/>
          <w:szCs w:val="24"/>
          <w:lang w:eastAsia="ru-RU"/>
        </w:rPr>
      </w:pPr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>: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21 марта, 25 мая 2019 г., 12 марта 2020 г., 24 марта 2022 г.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09167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частью 5 статьи 97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1. Утвердить прилагаемые: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hyperlink r:id="rId5" w:anchor="block_1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Правила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осуществления мониторинга системы образования;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hyperlink r:id="rId6" w:anchor="block_2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перечень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обязательной информации о системе образования, подлежащей мониторингу.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2.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3 изменен с 1 сентября 2022 г. - </w:t>
      </w:r>
      <w:hyperlink r:id="rId7" w:anchor="block_101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8" w:anchor="/document/76800733/block/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3. Настоящее постановление вступает в силу с 1 сентября 2013 г. и действует до 1 сентября 2028 г.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7B0503" w:rsidRPr="007B0503" w:rsidTr="007B0503">
        <w:tc>
          <w:tcPr>
            <w:tcW w:w="3300" w:type="pct"/>
            <w:shd w:val="clear" w:color="auto" w:fill="FFFFFF"/>
            <w:vAlign w:val="bottom"/>
            <w:hideMark/>
          </w:tcPr>
          <w:p w:rsidR="007B0503" w:rsidRPr="007B0503" w:rsidRDefault="007B0503" w:rsidP="007B0503">
            <w:pPr>
              <w:ind w:left="75" w:right="7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7B05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Председатель Правительства</w:t>
            </w:r>
            <w:r w:rsidRPr="007B05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B0503" w:rsidRPr="007B0503" w:rsidRDefault="007B0503" w:rsidP="007B0503">
            <w:pPr>
              <w:spacing w:before="75" w:after="75"/>
              <w:ind w:left="75" w:right="75"/>
              <w:jc w:val="right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7B0503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Москва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5 августа 2013 г. N 662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Правила</w:t>
      </w: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осуществления мониторинга системы образования</w:t>
      </w: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9" w:history="1">
        <w:r w:rsidRPr="007B0503">
          <w:rPr>
            <w:rFonts w:eastAsia="Times New Roman"/>
            <w:b/>
            <w:bCs/>
            <w:color w:val="3272C0"/>
            <w:sz w:val="30"/>
            <w:lang w:eastAsia="ru-RU"/>
          </w:rPr>
          <w:t>постановлением</w:t>
        </w:r>
      </w:hyperlink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 Правительства РФ от 5 августа 2013 г. N 662)</w:t>
      </w:r>
    </w:p>
    <w:p w:rsidR="007B0503" w:rsidRPr="007B0503" w:rsidRDefault="007B0503" w:rsidP="007B0503">
      <w:pPr>
        <w:pBdr>
          <w:bottom w:val="dotted" w:sz="6" w:space="0" w:color="3272C0"/>
        </w:pBdr>
        <w:shd w:val="clear" w:color="auto" w:fill="FFFFFF"/>
        <w:spacing w:after="300"/>
        <w:outlineLvl w:val="3"/>
        <w:rPr>
          <w:rFonts w:eastAsia="Times New Roman"/>
          <w:b/>
          <w:bCs/>
          <w:color w:val="3272C0"/>
          <w:sz w:val="24"/>
          <w:szCs w:val="24"/>
          <w:lang w:eastAsia="ru-RU"/>
        </w:rPr>
      </w:pPr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>: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25 мая 2019 г., 24 марта 2022 г.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1 изменен с 1 сентября 2022 г. - </w:t>
      </w:r>
      <w:hyperlink r:id="rId10" w:anchor="block_1021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11" w:anchor="/document/76800733/block/1001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 xml:space="preserve">1. Настоящие Правила устанавливают порядок осуществления мониторинга системы образования (далее - мониторинг), включая порядок осуществления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и применения его результатов.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2 изменен с 1 сентября 2022 г. - </w:t>
      </w:r>
      <w:hyperlink r:id="rId12" w:anchor="block_102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13" w:anchor="/document/76800733/block/10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2.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образовании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>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В рамках мониторинга проводится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аккредитационный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аккредитационных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показателей.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Аккредитационный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 проводится в целях выявления фактов несоблюдения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аккредитационных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показателей, направления организациям, осуществляющим образовательную деятельность, рекомендаций по повышению качества образования.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3 изменен с 1 сентября 2022 г. - </w:t>
      </w:r>
      <w:hyperlink r:id="rId14" w:anchor="block_102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15" w:anchor="/document/76800733/block/100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качества образования, выполненный на основе указанной информации (далее - сбор, обработка и анализ информации).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4 изменен с 1 сентября 2022 г. - </w:t>
      </w:r>
      <w:hyperlink r:id="rId16" w:anchor="block_1024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17" w:anchor="/document/76800733/block/1004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4.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  <w:proofErr w:type="gramEnd"/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hyperlink r:id="rId18" w:anchor="/multilink/70429494/paragraph/4410/number/0:0" w:history="1">
        <w:proofErr w:type="gramStart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Показатели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мониторинга и </w:t>
      </w:r>
      <w:hyperlink r:id="rId19" w:anchor="/multilink/70429494/paragraph/4410/number/1: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методика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 </w:t>
      </w:r>
      <w:hyperlink r:id="rId20" w:anchor="block_2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перечнем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 обязательной информации о системе образования, подлежащей мониторингу, </w:t>
      </w: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утвержденным </w:t>
      </w:r>
      <w:hyperlink r:id="rId21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Российской Федерации от 5 августа 2013 г. N 662 "Об осуществлении мониторинга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системы образования", за исключением показателей мониторинга и методики их расчета в части информации, предусмотренной </w:t>
      </w:r>
      <w:hyperlink r:id="rId22" w:anchor="block_201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подпунктами "б"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 </w:t>
      </w:r>
      <w:hyperlink r:id="rId23" w:anchor="block_20105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"</w:t>
        </w:r>
        <w:proofErr w:type="spellStart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д</w:t>
        </w:r>
        <w:proofErr w:type="spellEnd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" - "ж"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указанного перечня.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hyperlink r:id="rId24" w:anchor="/multilink/70429494/paragraph/4411/number/0: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Показатели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мониторинга и методика их расчета в части информации, предусмотренной </w:t>
      </w:r>
      <w:hyperlink r:id="rId25" w:anchor="block_201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подпунктами "б"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 </w:t>
      </w:r>
      <w:hyperlink r:id="rId26" w:anchor="block_20105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"</w:t>
        </w:r>
        <w:proofErr w:type="spellStart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д</w:t>
        </w:r>
        <w:proofErr w:type="spellEnd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" - "ж"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перечня, указанного в </w:t>
      </w:r>
      <w:hyperlink r:id="rId27" w:anchor="block_20041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абзаце втором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5 изменен с 7 июня 2019 г. - </w:t>
      </w:r>
      <w:hyperlink r:id="rId28" w:anchor="block_1011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25 мая 2019 г. N 657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29" w:anchor="/document/77681498/block/1005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5. </w:t>
      </w:r>
      <w:proofErr w:type="spellStart"/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C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>бор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, обработку и анализ информации в отношении составляющих системы образования, предусмотренных </w:t>
      </w:r>
      <w:hyperlink r:id="rId30" w:anchor="block_108126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частью 1 статьи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 </w:t>
      </w:r>
      <w:hyperlink r:id="rId31" w:anchor="block_81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статье 81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 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соответствии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Сбор и обработку при проведении мониторинга информации, предусмотренной </w:t>
      </w:r>
      <w:hyperlink r:id="rId32" w:anchor="block_201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подпунктом "б"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перечня, указанного в </w:t>
      </w:r>
      <w:hyperlink r:id="rId33" w:anchor="block_20041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абзаце втором пункта 4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 </w:t>
      </w:r>
      <w:hyperlink r:id="rId34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"Об образовании в Российской Федерации".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Сбор, обработку и анализ информации, подготовку рекомендаций по повышению качества образования при проведении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 </w:t>
      </w:r>
      <w:hyperlink r:id="rId35" w:anchor="block_10617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пункте 7 части 1 статьи 6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Федерации.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По решению Федеральной службы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может осуществляться с привлечением их подведомственных организаций.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Сбор, обработку и анализ информации, подготовку рекомендаций по повышению качества образования при проведении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 </w:t>
      </w:r>
      <w:hyperlink r:id="rId36" w:anchor="block_10714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пункте 4 части 1 статьи 7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Федерального закона "Об образовании в Российской Федерации",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,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осуществляющими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переданные Российской Федерацией полномочия в сфере образования.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По решению Федеральной службы по надзору в сфере образования и науки и органов исполнительной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может осуществляться с привлечением их подведомственных организаций.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6 изменен с 1 сентября 2022 г. - </w:t>
      </w:r>
      <w:hyperlink r:id="rId37" w:anchor="block_1026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38" w:anchor="/document/76800733/block/1006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6.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Мониторинг, включая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аккредитационный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от организаций и граждан,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предусмотренной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> </w:t>
      </w:r>
      <w:hyperlink r:id="rId39" w:anchor="block_2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перечнем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 указанным в </w:t>
      </w:r>
      <w:hyperlink r:id="rId40" w:anchor="block_1004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пункте 4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настоящих Правил.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Пункт 7 изменен с 1 сентября 2022 г. - </w:t>
      </w:r>
      <w:hyperlink r:id="rId41" w:anchor="block_1027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42" w:anchor="/document/76800733/block/1007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 </w:t>
      </w:r>
      <w:hyperlink r:id="rId43" w:anchor="/multilink/70429494/paragraph/734/number/0: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процедурами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 сроками проведения и </w:t>
      </w:r>
      <w:hyperlink r:id="rId44" w:anchor="/multilink/70429494/paragraph/734/number/1: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показателями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 мониторинга, устанавливаемыми указанными органами.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Мониторинг информации, предусмотренной </w:t>
      </w:r>
      <w:hyperlink r:id="rId45" w:anchor="block_201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подпунктом "б"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перечня, указанного в </w:t>
      </w:r>
      <w:hyperlink r:id="rId46" w:anchor="block_20041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абзаце втором пункта 4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  <w:proofErr w:type="gramEnd"/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Порядок проведения мониторинга, включая проведение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Аккредитационный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 проводится Федеральной службой по надзору в сфере образования и науки не реже 1 раза в 3 года. </w:t>
      </w:r>
      <w:proofErr w:type="spellStart"/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Аккредитационный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 информации, предусмотренной </w:t>
      </w:r>
      <w:hyperlink r:id="rId47" w:anchor="block_20105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подпунктами "</w:t>
        </w:r>
        <w:proofErr w:type="spellStart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д</w:t>
        </w:r>
        <w:proofErr w:type="spellEnd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" - "ж"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перечня, указанного в </w:t>
      </w:r>
      <w:hyperlink r:id="rId48" w:anchor="block_20041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абзаце втором пункта 4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настоящих Правил, проводится Федеральной службой по надзору в сфере образования и науки в соответствии с </w:t>
      </w:r>
      <w:hyperlink r:id="rId49" w:anchor="block_1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процедурами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 сроками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  <w:proofErr w:type="gramEnd"/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8 изменен с 1 сентября 2022 г. - </w:t>
      </w:r>
      <w:hyperlink r:id="rId50" w:anchor="block_1028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51" w:anchor="/document/76800733/block/1008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8.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 </w:t>
      </w:r>
      <w:hyperlink r:id="rId52" w:anchor="/multilink/70429494/paragraph/736/number/0: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формам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Результаты проведенного анализа информации, предусмотренной </w:t>
      </w:r>
      <w:hyperlink r:id="rId53" w:anchor="block_201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подпунктом "б"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перечня, указанного в </w:t>
      </w:r>
      <w:hyperlink r:id="rId54" w:anchor="block_20041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абзаце втором пункта 4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органами совместно.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Итоговые отчеты о результатах мониторинга, в том числе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мониторинга, федеральных государственных организаций размещению в сети "Интернет" не подлежат.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Правила дополнены пунктом 8</w:t>
      </w:r>
      <w:r w:rsidRPr="007B0503">
        <w:rPr>
          <w:rFonts w:eastAsia="Times New Roman"/>
          <w:color w:val="464C55"/>
          <w:sz w:val="18"/>
          <w:szCs w:val="18"/>
          <w:vertAlign w:val="superscript"/>
          <w:lang w:eastAsia="ru-RU"/>
        </w:rPr>
        <w:t> 1</w:t>
      </w:r>
      <w:r w:rsidRPr="007B0503">
        <w:rPr>
          <w:rFonts w:eastAsia="Times New Roman"/>
          <w:color w:val="464C55"/>
          <w:sz w:val="24"/>
          <w:szCs w:val="24"/>
          <w:lang w:eastAsia="ru-RU"/>
        </w:rPr>
        <w:t> с 1 сентября 2022 г. - </w:t>
      </w:r>
      <w:hyperlink r:id="rId55" w:anchor="block_1029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8</w:t>
      </w:r>
      <w:r w:rsidRPr="007B0503">
        <w:rPr>
          <w:rFonts w:eastAsia="Times New Roman"/>
          <w:color w:val="464C55"/>
          <w:sz w:val="18"/>
          <w:szCs w:val="18"/>
          <w:vertAlign w:val="superscript"/>
          <w:lang w:eastAsia="ru-RU"/>
        </w:rPr>
        <w:t> 1</w:t>
      </w: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Результаты проведенного анализа информации, предусмотренной </w:t>
      </w:r>
      <w:hyperlink r:id="rId56" w:anchor="block_20105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подпунктами "</w:t>
        </w:r>
        <w:proofErr w:type="spellStart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д</w:t>
        </w:r>
        <w:proofErr w:type="spellEnd"/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" - "ж" пункта 10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перечня, указанного в </w:t>
      </w:r>
      <w:hyperlink r:id="rId57" w:anchor="block_20041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абзаце втором пункта 4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 </w:t>
      </w:r>
      <w:hyperlink r:id="rId58" w:anchor="block_5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форме</w:t>
        </w:r>
        <w:proofErr w:type="gramEnd"/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и в соответствии со </w:t>
      </w:r>
      <w:hyperlink r:id="rId59" w:anchor="block_1056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сроками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 установленными указанными органами совместно.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Результаты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подлежат комплексному анализу на федеральном и региональном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уровнях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На основании результатов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мониторинга, направляются в соответствующую организацию в течение 5 рабочих дней с момента подготовки указанных рекомендаций.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Результаты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аккредитационного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мониторинга используются организациями,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осуществляющими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9 изменен с 7 июня 2019 г. - </w:t>
      </w:r>
      <w:hyperlink r:id="rId60" w:anchor="block_1014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25 мая 2019 г. N 657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61" w:anchor="/document/77681498/block/1009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9. Органы местного самоуправления ежегодно, не позднее 25 октября года, следующего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за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отчетным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>, представляют в органы исполнительной власти субъектов Российской Федерации итоговые отчеты.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 </w:t>
      </w:r>
      <w:hyperlink r:id="rId62" w:anchor="block_6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итоговые отчеты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, за исключением итоговых отчетов в отношении федеральных государственных организаций.</w:t>
      </w:r>
      <w:proofErr w:type="gramEnd"/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10 изменен с 7 июня 2019 г. - </w:t>
      </w:r>
      <w:hyperlink r:id="rId63" w:anchor="block_1015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25 мая 2019 г. N 657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64" w:anchor="/document/77681498/block/101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10. </w:t>
      </w:r>
      <w:proofErr w:type="gramStart"/>
      <w:r w:rsidRPr="007B0503">
        <w:rPr>
          <w:rFonts w:eastAsia="Times New Roman"/>
          <w:color w:val="464C55"/>
          <w:sz w:val="24"/>
          <w:szCs w:val="24"/>
          <w:lang w:eastAsia="ru-RU"/>
        </w:rPr>
        <w:t>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 </w:t>
      </w:r>
      <w:hyperlink r:id="rId65" w:anchor="block_1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представляют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 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</w:t>
      </w: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отчетов федеральных</w:t>
      </w:r>
      <w:proofErr w:type="gram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Перечень</w:t>
      </w: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обязательной информации о системе образования, подлежащей мониторингу</w:t>
      </w: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66" w:history="1">
        <w:r w:rsidRPr="007B0503">
          <w:rPr>
            <w:rFonts w:eastAsia="Times New Roman"/>
            <w:b/>
            <w:bCs/>
            <w:color w:val="3272C0"/>
            <w:sz w:val="30"/>
            <w:lang w:eastAsia="ru-RU"/>
          </w:rPr>
          <w:t>постановлением</w:t>
        </w:r>
      </w:hyperlink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 Правительства РФ от 5 августа 2013 г. N 662)</w:t>
      </w:r>
    </w:p>
    <w:p w:rsidR="007B0503" w:rsidRPr="007B0503" w:rsidRDefault="007B0503" w:rsidP="007B0503">
      <w:pPr>
        <w:pBdr>
          <w:bottom w:val="dotted" w:sz="6" w:space="0" w:color="3272C0"/>
        </w:pBdr>
        <w:shd w:val="clear" w:color="auto" w:fill="FFFFFF"/>
        <w:spacing w:after="300"/>
        <w:outlineLvl w:val="3"/>
        <w:rPr>
          <w:rFonts w:eastAsia="Times New Roman"/>
          <w:b/>
          <w:bCs/>
          <w:color w:val="3272C0"/>
          <w:sz w:val="24"/>
          <w:szCs w:val="24"/>
          <w:lang w:eastAsia="ru-RU"/>
        </w:rPr>
      </w:pPr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B0503">
        <w:rPr>
          <w:rFonts w:eastAsia="Times New Roman"/>
          <w:b/>
          <w:bCs/>
          <w:color w:val="3272C0"/>
          <w:sz w:val="24"/>
          <w:szCs w:val="24"/>
          <w:lang w:eastAsia="ru-RU"/>
        </w:rPr>
        <w:t>: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21 марта, 25 мая 2019 г., 12 марта 2020 г., 24 марта 2022 г.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I. Общее образование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1. Сведения о развитии дошкольного образования: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условия получения дошкольного образования лицами с ограниченными возможностями здоровья и инвалидами;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е) состояние здоровья лиц, обучающихся по программам дошкольного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финансово-экономическая деятельность дошкольных образовательных организаций;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здоровьесберегающие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II. Профессиональное образование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3. Сведения о развитии среднего профессионального образования: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условия получения среднего профессионального образования лицами с ограниченными возможностями здоровья и инвалидами;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е) учебные и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внеучебные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4. Сведения о развитии высшего образования: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условия получения высшего профессионального образования лицами с ограниченными возможностями здоровья и инвалидами;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е) учебные и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внеучебные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III. Дополнительное образование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5. Сведения о развитии дополнительного образования детей и взрослых: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и) учебные и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внеучебные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достижения лиц, обучающихся по программам дополнительного образования детей.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6. Сведения о развитии дополнительного профессионального образования: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Раздел III дополнен пунктом 6.1 с 21 марта 2020 г. - </w:t>
      </w:r>
      <w:hyperlink r:id="rId67" w:anchor="block_1000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12 марта 2020 г. N 264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6</w:t>
      </w:r>
      <w:r w:rsidRPr="007B0503">
        <w:rPr>
          <w:rFonts w:eastAsia="Times New Roman"/>
          <w:color w:val="464C55"/>
          <w:sz w:val="18"/>
          <w:szCs w:val="18"/>
          <w:vertAlign w:val="superscript"/>
          <w:lang w:eastAsia="ru-RU"/>
        </w:rPr>
        <w:t> 1</w:t>
      </w:r>
      <w:r w:rsidRPr="007B0503">
        <w:rPr>
          <w:rFonts w:eastAsia="Times New Roman"/>
          <w:color w:val="464C55"/>
          <w:sz w:val="24"/>
          <w:szCs w:val="24"/>
          <w:lang w:eastAsia="ru-RU"/>
        </w:rPr>
        <w:t>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б) образовательные технологии, используемые при реализации дополнительных профессиональных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профессионально-общественная аккредитация дополнительных профессиональных программ;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IV. Профессиональное обучение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7. Сведения о развитии профессионального обучения: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численность населения, обучающегося по программам профессионального обучения;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условия профессионального обучения лиц с ограниченными возможностями здоровья и инвалидов;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з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и) сведения о представителях работодателей, участвующих в учебном процессе.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7B0503">
        <w:rPr>
          <w:rFonts w:eastAsia="Times New Roman"/>
          <w:b/>
          <w:bCs/>
          <w:color w:val="22272F"/>
          <w:sz w:val="30"/>
          <w:szCs w:val="30"/>
          <w:lang w:eastAsia="ru-RU"/>
        </w:rPr>
        <w:t>V. Дополнительная информация о системе образования</w:t>
      </w:r>
    </w:p>
    <w:p w:rsidR="007B0503" w:rsidRPr="007B0503" w:rsidRDefault="007B0503" w:rsidP="007B0503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7B0503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8. Сведения об интеграции образования и науки, а также образования и сферы труда: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интеграция образования и науки;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б) участие организаций различных отраслей экономики в обеспечении и осуществлении образовательной деятельности.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9 изменен с 30 марта 2019 г. - </w:t>
      </w:r>
      <w:hyperlink r:id="rId68" w:anchor="block_10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21 марта 2019 г. N 292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69" w:anchor="/document/77678493/block/2009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9. Сведения об интеграции российского образования с мировым образовательным пространством: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 численность иностранных обучающихся по основным и дополнительным образовательным программам;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 численность иностранных педагогических и научных работников;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 информация об иностранных и 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оценка деятельности системы образования гражданами;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Подпункт "б" изменен с 7 июня 2019 г. - </w:t>
      </w:r>
      <w:hyperlink r:id="rId70" w:anchor="block_10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25 мая 2019 г. N 657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71" w:anchor="/document/77681498/block/20102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развитие механизмов государственно-частного управления в системе образования;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развитие региональных систем оценки качества образования;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10 дополнен подпунктом "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>" с 1 сентября 2022 г. - </w:t>
      </w:r>
      <w:hyperlink r:id="rId72" w:anchor="block_10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д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) выполнение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аккредитационных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10 дополнен подпунктом "е" с 1 сентября 2022 г. - </w:t>
      </w:r>
      <w:hyperlink r:id="rId73" w:anchor="block_10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е) выполнение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аккредитационных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показателей по основным образовательным программам среднего профессионального образования;</w:t>
      </w:r>
    </w:p>
    <w:p w:rsidR="007B0503" w:rsidRPr="007B0503" w:rsidRDefault="007B0503" w:rsidP="007B0503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Пункт 10 дополнен подпунктом "ж" с 1 сентября 2022 г. - </w:t>
      </w:r>
      <w:hyperlink r:id="rId74" w:anchor="block_103" w:history="1">
        <w:r w:rsidRPr="007B0503">
          <w:rPr>
            <w:rFonts w:eastAsia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B0503">
        <w:rPr>
          <w:rFonts w:eastAsia="Times New Roman"/>
          <w:color w:val="464C55"/>
          <w:sz w:val="24"/>
          <w:szCs w:val="24"/>
          <w:lang w:eastAsia="ru-RU"/>
        </w:rPr>
        <w:t> Правительства России от 24 марта 2022 г. N 450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ж) выполнение </w:t>
      </w:r>
      <w:proofErr w:type="spellStart"/>
      <w:r w:rsidRPr="007B0503">
        <w:rPr>
          <w:rFonts w:eastAsia="Times New Roman"/>
          <w:color w:val="464C55"/>
          <w:sz w:val="24"/>
          <w:szCs w:val="24"/>
          <w:lang w:eastAsia="ru-RU"/>
        </w:rPr>
        <w:t>аккредитационных</w:t>
      </w:r>
      <w:proofErr w:type="spellEnd"/>
      <w:r w:rsidRPr="007B0503">
        <w:rPr>
          <w:rFonts w:eastAsia="Times New Roman"/>
          <w:color w:val="464C55"/>
          <w:sz w:val="24"/>
          <w:szCs w:val="24"/>
          <w:lang w:eastAsia="ru-RU"/>
        </w:rPr>
        <w:t xml:space="preserve"> показателей по основным образовательным программам высшего образования.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lastRenderedPageBreak/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а) социально-демографические характеристики и социальная интеграция;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б) ценностные ориентации молодежи и ее участие в общественных достижениях;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в) образование и занятость молодежи;</w:t>
      </w:r>
    </w:p>
    <w:p w:rsidR="007B0503" w:rsidRPr="007B0503" w:rsidRDefault="007B0503" w:rsidP="007B0503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7B0503">
        <w:rPr>
          <w:rFonts w:eastAsia="Times New Roman"/>
          <w:color w:val="464C55"/>
          <w:sz w:val="24"/>
          <w:szCs w:val="24"/>
          <w:lang w:eastAsia="ru-RU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0D5BCF" w:rsidRDefault="007B0503"/>
    <w:sectPr w:rsidR="000D5BCF" w:rsidSect="0054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503"/>
    <w:rsid w:val="00165450"/>
    <w:rsid w:val="0032327F"/>
    <w:rsid w:val="003233C6"/>
    <w:rsid w:val="00477D02"/>
    <w:rsid w:val="00543008"/>
    <w:rsid w:val="007B0503"/>
    <w:rsid w:val="00A70757"/>
    <w:rsid w:val="00B2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08"/>
  </w:style>
  <w:style w:type="paragraph" w:styleId="1">
    <w:name w:val="heading 1"/>
    <w:basedOn w:val="a"/>
    <w:link w:val="10"/>
    <w:uiPriority w:val="9"/>
    <w:qFormat/>
    <w:rsid w:val="007B0503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B0503"/>
    <w:pPr>
      <w:spacing w:before="100" w:beforeAutospacing="1" w:after="100" w:afterAutospacing="1"/>
      <w:outlineLvl w:val="3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503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0503"/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s3">
    <w:name w:val="s_3"/>
    <w:basedOn w:val="a"/>
    <w:rsid w:val="007B050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s52">
    <w:name w:val="s_52"/>
    <w:basedOn w:val="a"/>
    <w:rsid w:val="007B050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050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s1">
    <w:name w:val="s_1"/>
    <w:basedOn w:val="a"/>
    <w:rsid w:val="007B050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503"/>
    <w:rPr>
      <w:color w:val="0000FF"/>
      <w:u w:val="single"/>
    </w:rPr>
  </w:style>
  <w:style w:type="paragraph" w:customStyle="1" w:styleId="s22">
    <w:name w:val="s_22"/>
    <w:basedOn w:val="a"/>
    <w:rsid w:val="007B050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s16">
    <w:name w:val="s_16"/>
    <w:basedOn w:val="a"/>
    <w:rsid w:val="007B0503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68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1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93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6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35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90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9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515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92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60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5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3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9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65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1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5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93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4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7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5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4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5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1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3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5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2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1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09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8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1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4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3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5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43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0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4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3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5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44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8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841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6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1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82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4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s://base.garant.ru/70429494/6a0fc69d675538c85dde670c9affcd78/" TargetMode="External"/><Relationship Id="rId39" Type="http://schemas.openxmlformats.org/officeDocument/2006/relationships/hyperlink" Target="https://base.garant.ru/70429494/6a0fc69d675538c85dde670c9affcd78/" TargetMode="External"/><Relationship Id="rId21" Type="http://schemas.openxmlformats.org/officeDocument/2006/relationships/hyperlink" Target="https://base.garant.ru/70429494/" TargetMode="External"/><Relationship Id="rId34" Type="http://schemas.openxmlformats.org/officeDocument/2006/relationships/hyperlink" Target="https://base.garant.ru/70291362/" TargetMode="External"/><Relationship Id="rId42" Type="http://schemas.openxmlformats.org/officeDocument/2006/relationships/hyperlink" Target="https://ivo.garant.ru/" TargetMode="External"/><Relationship Id="rId47" Type="http://schemas.openxmlformats.org/officeDocument/2006/relationships/hyperlink" Target="https://base.garant.ru/70429494/6a0fc69d675538c85dde670c9affcd78/" TargetMode="External"/><Relationship Id="rId50" Type="http://schemas.openxmlformats.org/officeDocument/2006/relationships/hyperlink" Target="https://base.garant.ru/403755560/f812cc2c8180987303a16c49f520c6f1/" TargetMode="External"/><Relationship Id="rId55" Type="http://schemas.openxmlformats.org/officeDocument/2006/relationships/hyperlink" Target="https://base.garant.ru/403755560/f812cc2c8180987303a16c49f520c6f1/" TargetMode="External"/><Relationship Id="rId63" Type="http://schemas.openxmlformats.org/officeDocument/2006/relationships/hyperlink" Target="https://base.garant.ru/72255562/284d0e220696f28b41dddb0ce7c19732/" TargetMode="External"/><Relationship Id="rId68" Type="http://schemas.openxmlformats.org/officeDocument/2006/relationships/hyperlink" Target="https://base.garant.ru/72203686/14a24e0fbbb9416936cf2056621c5dba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base.garant.ru/403755560/f812cc2c8180987303a16c49f520c6f1/" TargetMode="External"/><Relationship Id="rId71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3755560/f812cc2c8180987303a16c49f520c6f1/" TargetMode="External"/><Relationship Id="rId29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s://base.garant.ru/70429494/6a0fc69d675538c85dde670c9affcd78/" TargetMode="External"/><Relationship Id="rId37" Type="http://schemas.openxmlformats.org/officeDocument/2006/relationships/hyperlink" Target="https://base.garant.ru/403755560/f812cc2c8180987303a16c49f520c6f1/" TargetMode="External"/><Relationship Id="rId40" Type="http://schemas.openxmlformats.org/officeDocument/2006/relationships/hyperlink" Target="https://base.garant.ru/70429494/6a0fc69d675538c85dde670c9affcd78/" TargetMode="External"/><Relationship Id="rId45" Type="http://schemas.openxmlformats.org/officeDocument/2006/relationships/hyperlink" Target="https://base.garant.ru/70429494/6a0fc69d675538c85dde670c9affcd78/" TargetMode="External"/><Relationship Id="rId53" Type="http://schemas.openxmlformats.org/officeDocument/2006/relationships/hyperlink" Target="https://base.garant.ru/70429494/6a0fc69d675538c85dde670c9affcd78/" TargetMode="External"/><Relationship Id="rId58" Type="http://schemas.openxmlformats.org/officeDocument/2006/relationships/hyperlink" Target="https://base.garant.ru/406957746/c9c989f1e999992b41b30686f0032f7d/" TargetMode="External"/><Relationship Id="rId66" Type="http://schemas.openxmlformats.org/officeDocument/2006/relationships/hyperlink" Target="https://base.garant.ru/70429494/" TargetMode="External"/><Relationship Id="rId74" Type="http://schemas.openxmlformats.org/officeDocument/2006/relationships/hyperlink" Target="https://base.garant.ru/403755560/f812cc2c8180987303a16c49f520c6f1/" TargetMode="External"/><Relationship Id="rId5" Type="http://schemas.openxmlformats.org/officeDocument/2006/relationships/hyperlink" Target="https://base.garant.ru/70429494/6a0fc69d675538c85dde670c9affcd78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base.garant.ru/70429494/6a0fc69d675538c85dde670c9affcd78/" TargetMode="External"/><Relationship Id="rId28" Type="http://schemas.openxmlformats.org/officeDocument/2006/relationships/hyperlink" Target="https://base.garant.ru/72255562/284d0e220696f28b41dddb0ce7c19732/" TargetMode="External"/><Relationship Id="rId36" Type="http://schemas.openxmlformats.org/officeDocument/2006/relationships/hyperlink" Target="https://base.garant.ru/70291362/e88847e78ccd9fdb54482c7fa15982bf/" TargetMode="External"/><Relationship Id="rId49" Type="http://schemas.openxmlformats.org/officeDocument/2006/relationships/hyperlink" Target="https://base.garant.ru/406957746/53f89421bbdaf741eb2d1ecc4ddb4c33/" TargetMode="External"/><Relationship Id="rId57" Type="http://schemas.openxmlformats.org/officeDocument/2006/relationships/hyperlink" Target="https://base.garant.ru/70429494/6a0fc69d675538c85dde670c9affcd78/" TargetMode="External"/><Relationship Id="rId61" Type="http://schemas.openxmlformats.org/officeDocument/2006/relationships/hyperlink" Target="https://ivo.garant.ru/" TargetMode="External"/><Relationship Id="rId10" Type="http://schemas.openxmlformats.org/officeDocument/2006/relationships/hyperlink" Target="https://base.garant.ru/403755560/f812cc2c8180987303a16c49f520c6f1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s://base.garant.ru/70291362/646cd7e8cf19279b078cdec8fcd89ce4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s://base.garant.ru/72255562/284d0e220696f28b41dddb0ce7c19732/" TargetMode="External"/><Relationship Id="rId65" Type="http://schemas.openxmlformats.org/officeDocument/2006/relationships/hyperlink" Target="https://base.garant.ru/72259698/" TargetMode="External"/><Relationship Id="rId73" Type="http://schemas.openxmlformats.org/officeDocument/2006/relationships/hyperlink" Target="https://base.garant.ru/403755560/f812cc2c8180987303a16c49f520c6f1/" TargetMode="External"/><Relationship Id="rId4" Type="http://schemas.openxmlformats.org/officeDocument/2006/relationships/hyperlink" Target="https://base.garant.ru/70291362/aa6f3692e07ea8b8d62a17643d65ddf6/" TargetMode="External"/><Relationship Id="rId9" Type="http://schemas.openxmlformats.org/officeDocument/2006/relationships/hyperlink" Target="https://base.garant.ru/70429494/" TargetMode="External"/><Relationship Id="rId14" Type="http://schemas.openxmlformats.org/officeDocument/2006/relationships/hyperlink" Target="https://base.garant.ru/403755560/f812cc2c8180987303a16c49f520c6f1/" TargetMode="External"/><Relationship Id="rId22" Type="http://schemas.openxmlformats.org/officeDocument/2006/relationships/hyperlink" Target="https://base.garant.ru/70429494/6a0fc69d675538c85dde670c9affcd78/" TargetMode="External"/><Relationship Id="rId27" Type="http://schemas.openxmlformats.org/officeDocument/2006/relationships/hyperlink" Target="https://base.garant.ru/70429494/6a0fc69d675538c85dde670c9affcd78/" TargetMode="External"/><Relationship Id="rId30" Type="http://schemas.openxmlformats.org/officeDocument/2006/relationships/hyperlink" Target="https://base.garant.ru/70291362/3d3a9e2eb4f30c73ea6671464e2a54b5/" TargetMode="External"/><Relationship Id="rId35" Type="http://schemas.openxmlformats.org/officeDocument/2006/relationships/hyperlink" Target="https://base.garant.ru/70291362/8b7b3c1c76e91f88d33c08b3736aa67a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s://base.garant.ru/70429494/6a0fc69d675538c85dde670c9affcd78/" TargetMode="External"/><Relationship Id="rId56" Type="http://schemas.openxmlformats.org/officeDocument/2006/relationships/hyperlink" Target="https://base.garant.ru/70429494/6a0fc69d675538c85dde670c9affcd78/" TargetMode="External"/><Relationship Id="rId64" Type="http://schemas.openxmlformats.org/officeDocument/2006/relationships/hyperlink" Target="https://ivo.garant.ru/" TargetMode="External"/><Relationship Id="rId69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51" Type="http://schemas.openxmlformats.org/officeDocument/2006/relationships/hyperlink" Target="https://ivo.garant.ru/" TargetMode="External"/><Relationship Id="rId72" Type="http://schemas.openxmlformats.org/officeDocument/2006/relationships/hyperlink" Target="https://base.garant.ru/403755560/f812cc2c8180987303a16c49f520c6f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403755560/f812cc2c8180987303a16c49f520c6f1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base.garant.ru/70429494/6a0fc69d675538c85dde670c9affcd78/" TargetMode="External"/><Relationship Id="rId33" Type="http://schemas.openxmlformats.org/officeDocument/2006/relationships/hyperlink" Target="https://base.garant.ru/70429494/6a0fc69d675538c85dde670c9affcd78/" TargetMode="External"/><Relationship Id="rId38" Type="http://schemas.openxmlformats.org/officeDocument/2006/relationships/hyperlink" Target="https://ivo.garant.ru/" TargetMode="External"/><Relationship Id="rId46" Type="http://schemas.openxmlformats.org/officeDocument/2006/relationships/hyperlink" Target="https://base.garant.ru/70429494/6a0fc69d675538c85dde670c9affcd78/" TargetMode="External"/><Relationship Id="rId59" Type="http://schemas.openxmlformats.org/officeDocument/2006/relationships/hyperlink" Target="https://base.garant.ru/406957746/53f89421bbdaf741eb2d1ecc4ddb4c33/" TargetMode="External"/><Relationship Id="rId67" Type="http://schemas.openxmlformats.org/officeDocument/2006/relationships/hyperlink" Target="https://base.garant.ru/73740636/81141ef86ca9d94923db2558cbf7f7a5/" TargetMode="External"/><Relationship Id="rId20" Type="http://schemas.openxmlformats.org/officeDocument/2006/relationships/hyperlink" Target="https://base.garant.ru/70429494/6a0fc69d675538c85dde670c9affcd78/" TargetMode="External"/><Relationship Id="rId41" Type="http://schemas.openxmlformats.org/officeDocument/2006/relationships/hyperlink" Target="https://base.garant.ru/403755560/f812cc2c8180987303a16c49f520c6f1/" TargetMode="External"/><Relationship Id="rId54" Type="http://schemas.openxmlformats.org/officeDocument/2006/relationships/hyperlink" Target="https://base.garant.ru/70429494/6a0fc69d675538c85dde670c9affcd78/" TargetMode="External"/><Relationship Id="rId62" Type="http://schemas.openxmlformats.org/officeDocument/2006/relationships/hyperlink" Target="https://base.garant.ru/70812992/" TargetMode="External"/><Relationship Id="rId70" Type="http://schemas.openxmlformats.org/officeDocument/2006/relationships/hyperlink" Target="https://base.garant.ru/72255562/284d0e220696f28b41dddb0ce7c19732/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70429494/6a0fc69d675538c85dde670c9affcd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5961</Words>
  <Characters>33982</Characters>
  <Application>Microsoft Office Word</Application>
  <DocSecurity>0</DocSecurity>
  <Lines>283</Lines>
  <Paragraphs>79</Paragraphs>
  <ScaleCrop>false</ScaleCrop>
  <Company>MICROSOFT</Company>
  <LinksUpToDate>false</LinksUpToDate>
  <CharactersWithSpaces>39864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2024-08-22T10:47:00Z</dcterms:created>
  <dcterms:modified xsi:type="dcterms:W3CDTF">2024-08-22T10:47:00Z</dcterms:modified>
</cp:coreProperties>
</file>