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F9" w:rsidRDefault="004619D6" w:rsidP="007708F9">
      <w:pPr>
        <w:pStyle w:val="1"/>
        <w:shd w:val="clear" w:color="auto" w:fill="FFFFFF"/>
        <w:spacing w:before="0" w:after="150" w:line="600" w:lineRule="atLeast"/>
        <w:jc w:val="center"/>
        <w:rPr>
          <w:rFonts w:ascii="pfdintextcondpro-thin" w:hAnsi="pfdintextcondpro-thin"/>
          <w:bCs w:val="0"/>
          <w:caps/>
          <w:color w:val="000000"/>
          <w:sz w:val="40"/>
          <w:szCs w:val="40"/>
        </w:rPr>
      </w:pPr>
      <w:r w:rsidRPr="007708F9">
        <w:rPr>
          <w:rFonts w:ascii="pfdintextcondpro-thin" w:hAnsi="pfdintextcondpro-thin"/>
          <w:bCs w:val="0"/>
          <w:caps/>
          <w:color w:val="000000"/>
          <w:sz w:val="40"/>
          <w:szCs w:val="40"/>
        </w:rPr>
        <w:t xml:space="preserve">РОДИТЕЛЯМ О </w:t>
      </w:r>
      <w:proofErr w:type="gramStart"/>
      <w:r w:rsidRPr="007708F9">
        <w:rPr>
          <w:rFonts w:ascii="pfdintextcondpro-thin" w:hAnsi="pfdintextcondpro-thin"/>
          <w:bCs w:val="0"/>
          <w:caps/>
          <w:color w:val="000000"/>
          <w:sz w:val="40"/>
          <w:szCs w:val="40"/>
        </w:rPr>
        <w:t>ПРОФИЛАКТИЧЕСКИХ</w:t>
      </w:r>
      <w:proofErr w:type="gramEnd"/>
    </w:p>
    <w:p w:rsidR="004619D6" w:rsidRPr="007708F9" w:rsidRDefault="004619D6" w:rsidP="007708F9">
      <w:pPr>
        <w:pStyle w:val="1"/>
        <w:shd w:val="clear" w:color="auto" w:fill="FFFFFF"/>
        <w:spacing w:before="0" w:after="150" w:line="600" w:lineRule="atLeast"/>
        <w:jc w:val="center"/>
        <w:rPr>
          <w:rFonts w:ascii="pfdintextcondpro-thin" w:hAnsi="pfdintextcondpro-thin"/>
          <w:bCs w:val="0"/>
          <w:caps/>
          <w:color w:val="000000"/>
          <w:sz w:val="40"/>
          <w:szCs w:val="40"/>
        </w:rPr>
      </w:pPr>
      <w:proofErr w:type="gramStart"/>
      <w:r w:rsidRPr="007708F9">
        <w:rPr>
          <w:rFonts w:ascii="pfdintextcondpro-thin" w:hAnsi="pfdintextcondpro-thin"/>
          <w:bCs w:val="0"/>
          <w:caps/>
          <w:color w:val="000000"/>
          <w:sz w:val="40"/>
          <w:szCs w:val="40"/>
        </w:rPr>
        <w:t>ПРИВИВКАХ</w:t>
      </w:r>
      <w:proofErr w:type="gramEnd"/>
      <w:r w:rsidRPr="007708F9">
        <w:rPr>
          <w:rFonts w:ascii="pfdintextcondpro-thin" w:hAnsi="pfdintextcondpro-thin"/>
          <w:bCs w:val="0"/>
          <w:caps/>
          <w:color w:val="000000"/>
          <w:sz w:val="40"/>
          <w:szCs w:val="40"/>
        </w:rPr>
        <w:t xml:space="preserve"> ДЕТЯМ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b/>
          <w:color w:val="848484"/>
          <w:sz w:val="26"/>
          <w:szCs w:val="26"/>
        </w:rPr>
      </w:pPr>
      <w:r w:rsidRPr="007708F9">
        <w:rPr>
          <w:rFonts w:ascii="Helvetica" w:hAnsi="Helvetica"/>
          <w:b/>
          <w:color w:val="262626"/>
          <w:sz w:val="26"/>
          <w:szCs w:val="26"/>
        </w:rPr>
        <w:t>Уважаемые родители!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Вам необходимо знать, что только профилактические прививки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могут защитить Вашего ребенка от таких заболеваний, как полиомиелит, дифтерия, коклюш, туберкулез, столбняк, гепатит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 xml:space="preserve"> В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>, корь, эпидемический паротит (свинка), краснуха.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Чем же опасны заболевания, прививки против которых включены в Национальный календарь профилактических прививок России?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Полиомиелит</w:t>
      </w:r>
      <w:r w:rsidRPr="007708F9">
        <w:rPr>
          <w:rFonts w:ascii="Helvetica" w:hAnsi="Helvetica"/>
          <w:color w:val="262626"/>
          <w:sz w:val="26"/>
          <w:szCs w:val="26"/>
        </w:rPr>
        <w:t xml:space="preserve"> (или детский паралич) - острое инфекционное заболевание преимущественно, поражающее центральную нервную систему, в первую очередь спинной мозг. Заболевание приводит к развитию параличей, приводящих заболевшего ребенка к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инвалидизации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>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Острый гепатит</w:t>
      </w:r>
      <w:proofErr w:type="gramStart"/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 xml:space="preserve"> В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> 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 xml:space="preserve"> В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 xml:space="preserve">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в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 xml:space="preserve"> 50-95% случаев переходит в хроническую форму, приводящую в дальнейшем к циррозу печени и первичному раку печени. Чем младше возраст, в котором происходит инфицирование, тем выше вероятность стать хроническим носителем вируса.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Туберкулез</w:t>
      </w:r>
      <w:r w:rsidRPr="007708F9">
        <w:rPr>
          <w:rFonts w:ascii="Helvetica" w:hAnsi="Helvetica"/>
          <w:color w:val="262626"/>
          <w:sz w:val="26"/>
          <w:szCs w:val="26"/>
        </w:rPr>
        <w:t xml:space="preserve"> - заболевание поражает лёгкие и бронхи, однако возможно поражение и других органов. При туберкулезе возможно развитие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генерализованных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 xml:space="preserve"> форм, в том числе и туберкулезного менингита, устойчивых к противотуберкулезным препаратам.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Коклюш</w:t>
      </w:r>
      <w:r w:rsidRPr="007708F9">
        <w:rPr>
          <w:rFonts w:ascii="Helvetica" w:hAnsi="Helvetica"/>
          <w:color w:val="262626"/>
          <w:sz w:val="26"/>
          <w:szCs w:val="26"/>
        </w:rPr>
        <w:t> - инфекционное заболевание дыхательных путей. Опасным является поражение легких (бронхопневмония), особенно в грудном возрасте.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Дифтерия</w:t>
      </w:r>
      <w:r w:rsidRPr="007708F9">
        <w:rPr>
          <w:rFonts w:ascii="Helvetica" w:hAnsi="Helvetica"/>
          <w:color w:val="262626"/>
          <w:sz w:val="26"/>
          <w:szCs w:val="26"/>
        </w:rPr>
        <w:t xml:space="preserve"> - острое инфекционное заболевание, характеризующееся токсическим поражением организма, преимущественно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сердечно-сосудистой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 xml:space="preserve"> и 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>нервной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 xml:space="preserve"> систем, а также местным воспалительным процессом с образованием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фибринного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 xml:space="preserve"> налета. Возможны такие осложнениям дифтерии как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Столбняк</w:t>
      </w:r>
      <w:r w:rsidRPr="007708F9">
        <w:rPr>
          <w:rFonts w:ascii="Helvetica" w:hAnsi="Helvetica"/>
          <w:color w:val="262626"/>
          <w:sz w:val="26"/>
          <w:szCs w:val="26"/>
        </w:rPr>
        <w:t> - поражает нервную систему и сопровождается высокой летальностью вследствие паралича дыхания и сердечной мышцы.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Корь</w:t>
      </w:r>
      <w:r w:rsidRPr="007708F9">
        <w:rPr>
          <w:rFonts w:ascii="Helvetica" w:hAnsi="Helvetica"/>
          <w:color w:val="262626"/>
          <w:sz w:val="26"/>
          <w:szCs w:val="26"/>
        </w:rPr>
        <w:t xml:space="preserve"> - заболевание может вызвать развитие отита, пневмонии, не поддающейся </w:t>
      </w:r>
      <w:proofErr w:type="spellStart"/>
      <w:r w:rsidRPr="007708F9">
        <w:rPr>
          <w:rFonts w:ascii="Helvetica" w:hAnsi="Helvetica"/>
          <w:color w:val="262626"/>
          <w:sz w:val="26"/>
          <w:szCs w:val="26"/>
        </w:rPr>
        <w:t>антибиотикотерапии</w:t>
      </w:r>
      <w:proofErr w:type="spellEnd"/>
      <w:r w:rsidRPr="007708F9">
        <w:rPr>
          <w:rFonts w:ascii="Helvetica" w:hAnsi="Helvetica"/>
          <w:color w:val="262626"/>
          <w:sz w:val="26"/>
          <w:szCs w:val="26"/>
        </w:rPr>
        <w:t>, энцефалит. Риск тяжелых осложнений и смерти особенно высок у маленьких детей.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t>Эпидемический паротит (свинка)</w:t>
      </w:r>
      <w:r w:rsidRPr="007708F9">
        <w:rPr>
          <w:rFonts w:ascii="Helvetica" w:hAnsi="Helvetica"/>
          <w:color w:val="262626"/>
          <w:sz w:val="26"/>
          <w:szCs w:val="26"/>
        </w:rPr>
        <w:t> 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бесплодия, так как вирус может поражать яички и яичники.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  <w:u w:val="single"/>
        </w:rPr>
        <w:lastRenderedPageBreak/>
        <w:t>Краснуха</w:t>
      </w:r>
      <w:r w:rsidRPr="007708F9">
        <w:rPr>
          <w:rFonts w:ascii="Helvetica" w:hAnsi="Helvetica"/>
          <w:color w:val="262626"/>
          <w:sz w:val="26"/>
          <w:szCs w:val="26"/>
        </w:rPr>
        <w:t> 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>дств пл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>ода, выкидышам и мертворождениям.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РОДИТЕЛИ! ПОМНИТЕ!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Прививая ребенка, Вы защищаете его от инфекционных заболеваний!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Отказываясь от прививок, Вы рискуете здоровьем и жизнью Вашего ребенка!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Помогите Вашему ребенку!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Защитите его от инфекционных заболеваний, и от вызываемых ими тяжелых осложнений и последствий!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Дайте ему возможность бесплатно получить необходимую прививку в строго определенном возрасте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 xml:space="preserve">Сроки проведения вакцинации в соответствии </w:t>
      </w:r>
      <w:proofErr w:type="gramStart"/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с</w:t>
      </w:r>
      <w:proofErr w:type="gramEnd"/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Национальным календарем профилактических прививок</w:t>
      </w:r>
    </w:p>
    <w:tbl>
      <w:tblPr>
        <w:tblW w:w="1125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97"/>
        <w:gridCol w:w="8653"/>
      </w:tblGrid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Возраст ребенка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Вид прививки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Новорожденные</w:t>
            </w: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 </w:t>
            </w: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br/>
              <w:t>(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в первые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 xml:space="preserve"> 12 часов жизни)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Первая прививка (вакцинация) против вирусного гепатита В.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3-7 день жизни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Прививка (вакцинация) против туберкулеза.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3 месяца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Первая прививка (вакцинация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)п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ротив дифтерии, коклюша, столбняка, полиомиелита.</w:t>
            </w: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br/>
              <w:t>Вторая прививка (вакцинация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)п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ротив вирусного гепатита В.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4,5 месяца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Вторая прививка (вакцинация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)п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ротив дифтерии, коклюша, столбняка, полиомиелита.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6 месяцев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Третья прививка (вакцинация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)п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ротив дифтерии, коклюша, столбняка, полиомиелита. Третья прививка (вакцинация</w:t>
            </w:r>
            <w:proofErr w:type="gramStart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)п</w:t>
            </w:r>
            <w:proofErr w:type="gramEnd"/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ротив вирусного гепатита В.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12 месяцев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Первая прививка (вакцинация) против кори, эпидемического паротита, краснухи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18 месяцев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(первая ревакцинация) против дифтерии, коклюша, столбняка, полиомиелита.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20 месяцев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(вторая ревакцинация) против полиомиелита.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6 лет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(ревакцинация) против кори, краснухи, эпидемического паротита.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6-7 лет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(вторая ревакцинация) против дифтерии, столбняка.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7 лет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(ревакцинация) против туберкулеза.</w:t>
            </w:r>
          </w:p>
        </w:tc>
      </w:tr>
      <w:tr w:rsidR="004619D6" w:rsidRPr="007708F9" w:rsidTr="004619D6">
        <w:tc>
          <w:tcPr>
            <w:tcW w:w="253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Style w:val="a4"/>
                <w:rFonts w:ascii="Helvetica" w:eastAsiaTheme="majorEastAsia" w:hAnsi="Helvetica"/>
                <w:color w:val="000000"/>
                <w:sz w:val="26"/>
                <w:szCs w:val="26"/>
              </w:rPr>
              <w:t>14 лет</w:t>
            </w:r>
          </w:p>
        </w:tc>
        <w:tc>
          <w:tcPr>
            <w:tcW w:w="8445" w:type="dxa"/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4619D6" w:rsidRPr="007708F9" w:rsidRDefault="004619D6">
            <w:pPr>
              <w:pStyle w:val="a3"/>
              <w:spacing w:before="0" w:beforeAutospacing="0" w:after="150" w:afterAutospacing="0"/>
              <w:rPr>
                <w:rFonts w:ascii="Helvetica" w:hAnsi="Helvetica"/>
                <w:color w:val="000000"/>
                <w:sz w:val="26"/>
                <w:szCs w:val="26"/>
              </w:rPr>
            </w:pPr>
            <w:r w:rsidRPr="007708F9">
              <w:rPr>
                <w:rFonts w:ascii="Helvetica" w:hAnsi="Helvetica"/>
                <w:color w:val="000000"/>
                <w:sz w:val="26"/>
                <w:szCs w:val="26"/>
              </w:rPr>
              <w:t>Повторная прививка (третья ревакцинация) против дифтерии, столбняка, полиомиелита. Повторная прививка (ревакцинация) против туберкулеза.</w:t>
            </w:r>
          </w:p>
        </w:tc>
      </w:tr>
    </w:tbl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4"/>
          <w:rFonts w:ascii="Helvetica" w:eastAsiaTheme="majorEastAsia" w:hAnsi="Helvetica"/>
          <w:color w:val="262626"/>
          <w:sz w:val="26"/>
          <w:szCs w:val="26"/>
        </w:rPr>
        <w:t>Часто родители задают вопросы по поводу проведения профилактических прививок. Вот некоторые из них: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lastRenderedPageBreak/>
        <w:t>Всем ли детям можно делать прививки?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Существуют медицинские противопоказания к проведению профилактических прививок. Их определяет только врач.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Почему прививки делают повторно?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Для выработки и поддержания надежного иммунитета.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Можно ли прививать часто болеющих, ослабленных детей?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Ослабленных детей необходимо прививать в первую очередь, так как они наиболее подвержены инфекциям, протекающим у них, как правило, в тяжелой форме. Сроки проведения прививок таким детям определяет врач.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Не вызывают ли вакцины аллергию у детей?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Научные исследования и клинические наблюдения показывают, что даже у детей с аллергией вакцины не вызывают аллергических реакций.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Может ли быть у ребенка реакция на прививку?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 xml:space="preserve">У детей после прививки могут развиться реакции в месте введения вакцины (краснота, отечность, болезненность) и общие реакции (повышение температуры и нарушение самочувствия, сна, аппетита, плаксивость и т.п.). Местные реакции, а также общие реакции после введения инактивированных вакцин развиваются 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>в первые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 xml:space="preserve"> 24 часа. Их продолжительность, как правило, не превышает 3-х дней. Общие реакции после прививок вакцинами против кори, эпидемического паротита, краснухи появляются в период от 5 до 14 суток после прививки.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Может ли заболеть привитый ребенок?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Да, может, так как ни одна вакцина не дает 100% гарантии защиты от инфекции. Но это происходит редко. Привитый ребенок переносит заболевание в легкой форме и без осложнений.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Как нужно подготовить ребенка к прививкам?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Перед прививкой и после прививки постарайтесь не включать в питание ребенка новых пищевых продуктов, а также продуктов, на которые Ваш ребенок реагирует аллергическими проявлениями. В это же время ребенка следует предохранять как от переохлаждения, так и от перегревания, а также от контактов с инфекционными больными.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Style w:val="a5"/>
          <w:rFonts w:ascii="Helvetica" w:hAnsi="Helvetica"/>
          <w:color w:val="262626"/>
          <w:sz w:val="26"/>
          <w:szCs w:val="26"/>
        </w:rPr>
        <w:t>В чем нуждается ребенок после проведения прививки?</w:t>
      </w:r>
    </w:p>
    <w:p w:rsidR="004619D6" w:rsidRPr="007708F9" w:rsidRDefault="004619D6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r w:rsidRPr="007708F9">
        <w:rPr>
          <w:rFonts w:ascii="Helvetica" w:hAnsi="Helvetica"/>
          <w:color w:val="262626"/>
          <w:sz w:val="26"/>
          <w:szCs w:val="26"/>
        </w:rPr>
        <w:t>Во внимательном отношении со стороны родителей. В случае изменения поведения ребенка, повышения температуры до 38</w:t>
      </w:r>
      <w:proofErr w:type="gramStart"/>
      <w:r w:rsidRPr="007708F9">
        <w:rPr>
          <w:rFonts w:ascii="Helvetica" w:hAnsi="Helvetica"/>
          <w:color w:val="262626"/>
          <w:sz w:val="26"/>
          <w:szCs w:val="26"/>
        </w:rPr>
        <w:t xml:space="preserve"> С</w:t>
      </w:r>
      <w:proofErr w:type="gramEnd"/>
      <w:r w:rsidRPr="007708F9">
        <w:rPr>
          <w:rFonts w:ascii="Helvetica" w:hAnsi="Helvetica"/>
          <w:color w:val="262626"/>
          <w:sz w:val="26"/>
          <w:szCs w:val="26"/>
        </w:rPr>
        <w:t xml:space="preserve"> и выше, появления жалоб, родители должны обязательно обратиться к врачу.</w:t>
      </w:r>
    </w:p>
    <w:p w:rsidR="004619D6" w:rsidRPr="007708F9" w:rsidRDefault="005D7FFE" w:rsidP="004619D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262626"/>
          <w:sz w:val="26"/>
          <w:szCs w:val="26"/>
        </w:rPr>
      </w:pPr>
      <w:hyperlink r:id="rId5" w:history="1">
        <w:r w:rsidR="004619D6" w:rsidRPr="007708F9">
          <w:rPr>
            <w:rStyle w:val="a6"/>
            <w:rFonts w:ascii="Helvetica" w:hAnsi="Helvetica"/>
            <w:color w:val="23527C"/>
            <w:sz w:val="26"/>
            <w:szCs w:val="26"/>
          </w:rPr>
          <w:t>Федеральное государственное учреждение здравоохранения «Центр гигиенического образования населения» Федеральной службы по надзору в сфере защиты прав потребителей и благополучия человека</w:t>
        </w:r>
      </w:hyperlink>
    </w:p>
    <w:p w:rsidR="004619D6" w:rsidRPr="007708F9" w:rsidRDefault="004619D6">
      <w:pPr>
        <w:rPr>
          <w:sz w:val="26"/>
          <w:szCs w:val="26"/>
        </w:rPr>
      </w:pPr>
    </w:p>
    <w:p w:rsidR="004619D6" w:rsidRPr="007708F9" w:rsidRDefault="004619D6">
      <w:pPr>
        <w:rPr>
          <w:sz w:val="26"/>
          <w:szCs w:val="26"/>
        </w:rPr>
      </w:pPr>
    </w:p>
    <w:p w:rsidR="004619D6" w:rsidRPr="007708F9" w:rsidRDefault="004619D6">
      <w:pPr>
        <w:rPr>
          <w:sz w:val="26"/>
          <w:szCs w:val="26"/>
        </w:rPr>
      </w:pPr>
    </w:p>
    <w:p w:rsidR="004619D6" w:rsidRPr="00B26E26" w:rsidRDefault="004619D6">
      <w:pPr>
        <w:rPr>
          <w:sz w:val="28"/>
          <w:szCs w:val="28"/>
        </w:rPr>
      </w:pPr>
    </w:p>
    <w:sectPr w:rsidR="004619D6" w:rsidRPr="00B26E26" w:rsidSect="007708F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fdintextcondpro-th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221F6"/>
    <w:multiLevelType w:val="multilevel"/>
    <w:tmpl w:val="DB0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1A16"/>
    <w:rsid w:val="001265C2"/>
    <w:rsid w:val="0030456F"/>
    <w:rsid w:val="0031141A"/>
    <w:rsid w:val="004619D6"/>
    <w:rsid w:val="005962D1"/>
    <w:rsid w:val="005D7FFE"/>
    <w:rsid w:val="00716108"/>
    <w:rsid w:val="007708F9"/>
    <w:rsid w:val="00AC470B"/>
    <w:rsid w:val="00B26E26"/>
    <w:rsid w:val="00B35286"/>
    <w:rsid w:val="00B3625D"/>
    <w:rsid w:val="00C14996"/>
    <w:rsid w:val="00FE6805"/>
    <w:rsid w:val="00FF1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0B"/>
  </w:style>
  <w:style w:type="paragraph" w:styleId="1">
    <w:name w:val="heading 1"/>
    <w:basedOn w:val="a"/>
    <w:next w:val="a"/>
    <w:link w:val="10"/>
    <w:uiPriority w:val="9"/>
    <w:qFormat/>
    <w:rsid w:val="0046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362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625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a"/>
    <w:rsid w:val="00B3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19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6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19D6"/>
    <w:rPr>
      <w:b/>
      <w:bCs/>
    </w:rPr>
  </w:style>
  <w:style w:type="character" w:styleId="a5">
    <w:name w:val="Emphasis"/>
    <w:basedOn w:val="a0"/>
    <w:uiPriority w:val="20"/>
    <w:qFormat/>
    <w:rsid w:val="004619D6"/>
    <w:rPr>
      <w:i/>
      <w:iCs/>
    </w:rPr>
  </w:style>
  <w:style w:type="character" w:styleId="a6">
    <w:name w:val="Hyperlink"/>
    <w:basedOn w:val="a0"/>
    <w:uiPriority w:val="99"/>
    <w:semiHidden/>
    <w:unhideWhenUsed/>
    <w:rsid w:val="004619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2022-07-25T05:10:00Z</cp:lastPrinted>
  <dcterms:created xsi:type="dcterms:W3CDTF">2022-07-20T09:44:00Z</dcterms:created>
  <dcterms:modified xsi:type="dcterms:W3CDTF">2022-07-25T05:10:00Z</dcterms:modified>
</cp:coreProperties>
</file>